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塔什库尔干县纪委监委执纪执勤车辆经费项目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TW"/>
        </w:rPr>
        <w:t>塔什库尔干县纪律检查委员会</w:t>
      </w:r>
    </w:p>
    <w:p>
      <w:pPr>
        <w:pStyle w:val="48"/>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TW"/>
        </w:rPr>
        <w:t>塔什库尔干县</w:t>
      </w:r>
      <w:r>
        <w:rPr>
          <w:rFonts w:hint="eastAsia" w:ascii="仿宋_GB2312" w:hAnsi="仿宋_GB2312" w:eastAsia="仿宋_GB2312" w:cs="仿宋_GB2312"/>
          <w:kern w:val="0"/>
          <w:sz w:val="36"/>
          <w:szCs w:val="36"/>
          <w:lang w:val="zh-TW" w:eastAsia="zh-CN"/>
        </w:rPr>
        <w:t>委员会办公室</w:t>
      </w:r>
    </w:p>
    <w:p>
      <w:pPr>
        <w:pStyle w:val="48"/>
        <w:spacing w:line="700" w:lineRule="exact"/>
        <w:ind w:firstLine="720" w:firstLineChars="200"/>
        <w:jc w:val="left"/>
        <w:rPr>
          <w:rFonts w:hint="eastAsia" w:eastAsia="仿宋_GB2312"/>
          <w:kern w:val="0"/>
          <w:sz w:val="36"/>
          <w:szCs w:val="36"/>
          <w:lang w:val="en-US"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en-US" w:eastAsia="zh-CN"/>
        </w:rPr>
        <w:t>王昔威</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 xml:space="preserve"> </w:t>
      </w:r>
      <w:r>
        <w:rPr>
          <w:rFonts w:hint="eastAsia" w:ascii="仿宋_GB2312" w:hAnsi="仿宋_GB2312" w:eastAsia="仿宋_GB2312" w:cs="仿宋_GB2312"/>
          <w:kern w:val="0"/>
          <w:sz w:val="36"/>
          <w:szCs w:val="36"/>
          <w:lang w:val="en-US" w:eastAsia="zh-CN"/>
        </w:rPr>
        <w:t>12</w:t>
      </w:r>
      <w:r>
        <w:rPr>
          <w:rFonts w:hint="eastAsia" w:ascii="仿宋_GB2312" w:hAnsi="仿宋_GB2312" w:eastAsia="仿宋_GB2312" w:cs="仿宋_GB2312"/>
          <w:kern w:val="0"/>
          <w:sz w:val="36"/>
          <w:szCs w:val="36"/>
          <w:lang w:val="zh-TW"/>
        </w:rPr>
        <w:t xml:space="preserve"> </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 xml:space="preserve"> </w:t>
      </w:r>
      <w:r>
        <w:rPr>
          <w:rFonts w:hint="eastAsia" w:ascii="仿宋_GB2312" w:hAnsi="仿宋_GB2312" w:eastAsia="仿宋_GB2312" w:cs="仿宋_GB2312"/>
          <w:kern w:val="0"/>
          <w:sz w:val="36"/>
          <w:szCs w:val="36"/>
          <w:lang w:val="en-US" w:eastAsia="zh-CN"/>
        </w:rPr>
        <w:t>30</w:t>
      </w:r>
      <w:r>
        <w:rPr>
          <w:rFonts w:hint="eastAsia" w:ascii="仿宋_GB2312" w:hAnsi="仿宋_GB2312" w:eastAsia="仿宋_GB2312" w:cs="仿宋_GB2312"/>
          <w:kern w:val="0"/>
          <w:sz w:val="36"/>
          <w:szCs w:val="36"/>
          <w:lang w:val="zh-TW"/>
        </w:rPr>
        <w:t xml:space="preserve"> </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numPr>
          <w:ilvl w:val="0"/>
          <w:numId w:val="0"/>
        </w:numPr>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主要职能</w:t>
      </w:r>
      <w:r>
        <w:rPr>
          <w:rFonts w:hint="eastAsia" w:ascii="仿宋_GB2312" w:hAnsi="仿宋_GB2312" w:eastAsia="仿宋_GB2312" w:cs="仿宋_GB2312"/>
          <w:sz w:val="32"/>
          <w:szCs w:val="32"/>
          <w:lang w:eastAsia="zh-CN"/>
        </w:rPr>
        <w:t>情况：</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、受上级纪委和本级党委的领导，负责党的纪律检查工作。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、实行民主集中制原则，即个人服从组织，少数服从多数，下级服从上级。按照党章的规定行使职权。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、认真检查党的路线、方针、政策的贯彻落实情况，领导各党支部的纪检工作。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4、对广大党员进行党风党纪教育，模范遵守党纪国法，坚决同违反党纪的现象作斗争。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5、检查和处理党组织和党员违反党纪的案件，受理党员的控告和申诉以及群众对党员的检举和控告等信访工作。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6、维护党员享有的权利，支持党员的正义斗争。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7、纪律检查委员会的成员，要坚持党的原则，带头遵守党规党法，实事求是，廉洁奉公，不徇私情，以对党对人民负责的精神，做好党的纪律检查工作。 </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8、接受上级党的纪检部门和本级党委交办的其他任务。</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（2）机构设置情况</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塔什库尔干县</w:t>
      </w:r>
      <w:r>
        <w:rPr>
          <w:rFonts w:hint="eastAsia" w:ascii="仿宋_GB2312" w:hAnsi="仿宋_GB2312" w:eastAsia="仿宋_GB2312" w:cs="仿宋_GB2312"/>
          <w:sz w:val="32"/>
          <w:szCs w:val="32"/>
        </w:rPr>
        <w:t>纪律检查委员会单位性质为</w:t>
      </w:r>
      <w:r>
        <w:rPr>
          <w:rFonts w:hint="eastAsia" w:ascii="仿宋_GB2312" w:hAnsi="仿宋_GB2312" w:eastAsia="仿宋_GB2312" w:cs="仿宋_GB2312"/>
          <w:sz w:val="32"/>
          <w:szCs w:val="32"/>
          <w:lang w:eastAsia="zh-CN"/>
        </w:rPr>
        <w:t>全额拨款</w:t>
      </w:r>
      <w:r>
        <w:rPr>
          <w:rFonts w:hint="eastAsia" w:ascii="仿宋_GB2312" w:hAnsi="仿宋_GB2312" w:eastAsia="仿宋_GB2312" w:cs="仿宋_GB2312"/>
          <w:sz w:val="32"/>
          <w:szCs w:val="32"/>
        </w:rPr>
        <w:t>行政单位，执行会计制度为行政会计制度。独立编制机构1个，独立编制机构与上年</w:t>
      </w:r>
      <w:r>
        <w:rPr>
          <w:rFonts w:hint="eastAsia" w:ascii="仿宋_GB2312" w:hAnsi="仿宋_GB2312" w:eastAsia="仿宋_GB2312" w:cs="仿宋_GB2312"/>
          <w:sz w:val="32"/>
          <w:szCs w:val="32"/>
          <w:lang w:eastAsia="zh-CN"/>
        </w:rPr>
        <w:t>相比</w:t>
      </w:r>
      <w:r>
        <w:rPr>
          <w:rFonts w:hint="eastAsia" w:ascii="仿宋_GB2312" w:hAnsi="仿宋_GB2312" w:eastAsia="仿宋_GB2312" w:cs="仿宋_GB2312"/>
          <w:sz w:val="32"/>
          <w:szCs w:val="32"/>
        </w:rPr>
        <w:t>无变动</w:t>
      </w:r>
      <w:r>
        <w:rPr>
          <w:rFonts w:hint="eastAsia" w:ascii="仿宋_GB2312" w:hAnsi="仿宋_GB2312" w:eastAsia="仿宋_GB2312" w:cs="仿宋_GB2312"/>
          <w:sz w:val="32"/>
          <w:szCs w:val="32"/>
          <w:lang w:eastAsia="zh-CN"/>
        </w:rPr>
        <w:t>，无内设机构</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tabs>
          <w:tab w:val="left" w:pos="1279"/>
        </w:tabs>
        <w:kinsoku/>
        <w:wordWrap/>
        <w:overflowPunct/>
        <w:topLinePunct w:val="0"/>
        <w:bidi w:val="0"/>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(3)年末编制和实有人员情况：</w:t>
      </w:r>
    </w:p>
    <w:p>
      <w:pPr>
        <w:keepNext w:val="0"/>
        <w:keepLines w:val="0"/>
        <w:pageBreakBefore w:val="0"/>
        <w:widowControl w:val="0"/>
        <w:numPr>
          <w:ilvl w:val="0"/>
          <w:numId w:val="0"/>
        </w:numPr>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编制人数17人，其中：行政人员编制13人，其中参照公务员管理的事业单位人员编制4人，全额拨款事业</w:t>
      </w:r>
      <w:r>
        <w:rPr>
          <w:rFonts w:hint="eastAsia" w:ascii="仿宋_GB2312" w:hAnsi="仿宋_GB2312" w:eastAsia="仿宋_GB2312" w:cs="仿宋_GB2312"/>
          <w:sz w:val="32"/>
          <w:szCs w:val="32"/>
        </w:rPr>
        <w:t>单位人员编制4</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，工勤编制人数2人。实有在职人数18人，其中：行政在职13人，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参照公务员管理的事业单位人员</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人，事业在职</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人，工勤在职人数2人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离退休人员3人，其中：离休人员0人，退休人员3人。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keepNext w:val="0"/>
        <w:keepLines w:val="0"/>
        <w:pageBreakBefore w:val="0"/>
        <w:widowControl w:val="0"/>
        <w:numPr>
          <w:ilvl w:val="0"/>
          <w:numId w:val="0"/>
        </w:numPr>
        <w:kinsoku/>
        <w:wordWrap/>
        <w:overflowPunct/>
        <w:topLinePunct w:val="0"/>
        <w:bidi w:val="0"/>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县纪检监察机关</w:t>
      </w:r>
      <w:r>
        <w:rPr>
          <w:rFonts w:hint="eastAsia" w:ascii="仿宋_GB2312" w:hAnsi="仿宋_GB2312" w:eastAsia="仿宋_GB2312" w:cs="仿宋_GB2312"/>
          <w:sz w:val="32"/>
          <w:szCs w:val="32"/>
          <w:lang w:val="en-US" w:eastAsia="zh-CN"/>
        </w:rPr>
        <w:t>是维护全面从严治党的主要力量，</w:t>
      </w: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val="en-US" w:eastAsia="zh-CN"/>
        </w:rPr>
        <w:t>对</w:t>
      </w:r>
      <w:r>
        <w:rPr>
          <w:rFonts w:hint="eastAsia" w:ascii="仿宋_GB2312" w:hAnsi="仿宋_GB2312" w:eastAsia="仿宋_GB2312" w:cs="仿宋_GB2312"/>
          <w:sz w:val="32"/>
          <w:szCs w:val="32"/>
        </w:rPr>
        <w:t>纪检监察机关</w:t>
      </w:r>
      <w:r>
        <w:rPr>
          <w:rFonts w:hint="eastAsia" w:ascii="仿宋_GB2312" w:hAnsi="仿宋_GB2312" w:eastAsia="仿宋_GB2312" w:cs="仿宋_GB2312"/>
          <w:sz w:val="32"/>
          <w:szCs w:val="32"/>
          <w:lang w:val="en-US" w:eastAsia="zh-CN"/>
        </w:rPr>
        <w:t>办案力量的支持力度，对于转变干部作风建设，提升干部队伍建设，维护公正司法环境，</w:t>
      </w:r>
      <w:r>
        <w:rPr>
          <w:rFonts w:hint="eastAsia" w:ascii="仿宋_GB2312" w:hAnsi="仿宋_GB2312" w:eastAsia="仿宋_GB2312" w:cs="仿宋_GB2312"/>
          <w:sz w:val="32"/>
          <w:szCs w:val="32"/>
        </w:rPr>
        <w:t>促进社会和谐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充分调动</w:t>
      </w:r>
      <w:r>
        <w:rPr>
          <w:rFonts w:hint="eastAsia" w:ascii="仿宋_GB2312" w:hAnsi="仿宋_GB2312" w:eastAsia="仿宋_GB2312" w:cs="仿宋_GB2312"/>
          <w:sz w:val="32"/>
          <w:szCs w:val="32"/>
          <w:lang w:val="en-US" w:eastAsia="zh-CN"/>
        </w:rPr>
        <w:t>纪检监察干部积极性、主动性，有十分重要的意义</w:t>
      </w:r>
      <w:r>
        <w:rPr>
          <w:rFonts w:hint="eastAsia" w:ascii="仿宋_GB2312" w:hAnsi="仿宋_GB2312" w:eastAsia="仿宋_GB2312" w:cs="仿宋_GB2312"/>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新增</w:t>
      </w:r>
      <w:r>
        <w:rPr>
          <w:rFonts w:hint="eastAsia" w:ascii="仿宋" w:hAnsi="仿宋" w:eastAsia="仿宋"/>
          <w:bCs/>
          <w:color w:val="auto"/>
          <w:spacing w:val="-4"/>
          <w:sz w:val="32"/>
          <w:szCs w:val="32"/>
        </w:rPr>
        <w:t>项目。</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该项资金主要用于塔什库尔干县纪委监委执纪执勤车辆购置经费，2018年共拨付资金24.99万元，目前已全额支出24.99万元，均为实报实销。</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z w:val="32"/>
          <w:szCs w:val="32"/>
          <w:lang w:val="en-US" w:eastAsia="zh-CN"/>
        </w:rPr>
      </w:pPr>
      <w:r>
        <w:rPr>
          <w:rFonts w:hint="eastAsia" w:ascii="仿宋" w:hAnsi="仿宋" w:eastAsia="仿宋"/>
          <w:bCs/>
          <w:color w:val="auto"/>
          <w:spacing w:val="-4"/>
          <w:sz w:val="32"/>
          <w:szCs w:val="32"/>
          <w:lang w:val="en-US" w:eastAsia="zh-CN"/>
        </w:rPr>
        <w:t>纪委监委执纪执勤车辆购置经费项目预算安排总额为24.99</w:t>
      </w:r>
      <w:bookmarkStart w:id="0" w:name="_GoBack"/>
      <w:bookmarkEnd w:id="0"/>
      <w:r>
        <w:rPr>
          <w:rFonts w:hint="eastAsia" w:ascii="仿宋" w:hAnsi="仿宋" w:eastAsia="仿宋"/>
          <w:bCs/>
          <w:color w:val="auto"/>
          <w:spacing w:val="-4"/>
          <w:sz w:val="32"/>
          <w:szCs w:val="32"/>
          <w:lang w:val="en-US" w:eastAsia="zh-CN"/>
        </w:rPr>
        <w:t>万元，其中财政资金24.99万元，自筹资金0万元，2018年实际收到预算资金24.99万元。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本项目实际支付资金24.99万元，预算执行率100%，项目资金主要用于纪委监委执纪执勤车辆购置、没有用于其他用途。</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bCs/>
          <w:color w:val="auto"/>
          <w:spacing w:val="-4"/>
          <w:sz w:val="32"/>
          <w:szCs w:val="32"/>
          <w:lang w:val="en-US" w:eastAsia="zh-CN"/>
        </w:rPr>
      </w:pPr>
      <w:r>
        <w:rPr>
          <w:rFonts w:hint="eastAsia"/>
          <w:sz w:val="32"/>
          <w:szCs w:val="32"/>
          <w:lang w:val="en-US" w:eastAsia="zh-CN"/>
        </w:rPr>
        <w:t>本</w:t>
      </w:r>
      <w:r>
        <w:rPr>
          <w:rFonts w:hint="eastAsia" w:ascii="仿宋" w:hAnsi="仿宋" w:eastAsia="仿宋"/>
          <w:bCs/>
          <w:color w:val="auto"/>
          <w:spacing w:val="-4"/>
          <w:sz w:val="32"/>
          <w:szCs w:val="32"/>
          <w:lang w:val="en-US" w:eastAsia="zh-CN"/>
        </w:rPr>
        <w:t>项目支出符合县财政相关财务管理制度，拨付有完整的审批程序和手续，不存在截留、挤占、挪用等情况。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该项目属于补助类项目,不需要招投标程序,由本单位上级部门组织实施。实施过程均按照本单位制定的管理制度执行。</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z w:val="32"/>
          <w:szCs w:val="32"/>
          <w:lang w:val="en-US" w:eastAsia="zh-CN"/>
        </w:rPr>
      </w:pPr>
      <w:r>
        <w:rPr>
          <w:rFonts w:hint="eastAsia" w:ascii="仿宋" w:hAnsi="仿宋" w:eastAsia="仿宋"/>
          <w:bCs/>
          <w:color w:val="auto"/>
          <w:spacing w:val="-4"/>
          <w:sz w:val="32"/>
          <w:szCs w:val="32"/>
          <w:lang w:val="en-US" w:eastAsia="zh-CN"/>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z w:val="32"/>
          <w:szCs w:val="32"/>
          <w:lang w:val="en-US" w:eastAsia="zh-CN"/>
        </w:rPr>
      </w:pPr>
      <w:r>
        <w:rPr>
          <w:rFonts w:hint="eastAsia" w:ascii="仿宋" w:hAnsi="仿宋" w:eastAsia="仿宋"/>
          <w:bCs/>
          <w:color w:val="auto"/>
          <w:spacing w:val="-4"/>
          <w:sz w:val="32"/>
          <w:szCs w:val="32"/>
          <w:lang w:val="en-US" w:eastAsia="zh-CN"/>
        </w:rPr>
        <w:t>项目实施过程中，县纪委建立了完善的项目管理制度。项目的实施遵守相关法律法规和业务管理规定，项目资料齐全并及时归档。已建立《县纪委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效率性：塔什库尔干县纪委监委执纪执勤车辆经费项目严格按照相关制度要求执行，采取实报实销的方式，根据实际花费金额及时拨付，本年发放不存在拖延情况。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z w:val="32"/>
          <w:szCs w:val="32"/>
          <w:lang w:val="en-US" w:eastAsia="zh-CN"/>
        </w:rPr>
      </w:pPr>
      <w:r>
        <w:rPr>
          <w:rFonts w:hint="eastAsia" w:ascii="仿宋" w:hAnsi="仿宋" w:eastAsia="仿宋"/>
          <w:bCs/>
          <w:color w:val="auto"/>
          <w:spacing w:val="-4"/>
          <w:sz w:val="32"/>
          <w:szCs w:val="32"/>
          <w:lang w:val="en-US" w:eastAsia="zh-CN"/>
        </w:rPr>
        <w:t>可持续影响指标：塔什库尔干县纪委监委执纪执勤车辆经费项目的拨付，能够对案件办理人员起到一定的支持作用，进而减少不利案件的发生，维护我县的长久和谐发展。</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rPr>
        <w:t>不存在未完成情况</w:t>
      </w:r>
      <w:r>
        <w:rPr>
          <w:rFonts w:hint="eastAsia" w:ascii="仿宋" w:hAnsi="仿宋" w:eastAsia="仿宋"/>
          <w:color w:val="auto"/>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sz w:val="32"/>
          <w:szCs w:val="32"/>
          <w:lang w:val="en-US" w:eastAsia="zh-CN"/>
        </w:rPr>
      </w:pPr>
      <w:r>
        <w:rPr>
          <w:rFonts w:hint="eastAsia" w:ascii="仿宋" w:hAnsi="仿宋" w:eastAsia="仿宋"/>
          <w:color w:val="auto"/>
          <w:spacing w:val="-4"/>
          <w:sz w:val="32"/>
          <w:szCs w:val="32"/>
          <w:lang w:val="en-US" w:eastAsia="zh-CN"/>
        </w:rPr>
        <w:t>塔什库尔干县纪委监委执纪执勤车辆经费项目的拨付，一定要按照相关制度的要求，严格执行落实。</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宋体"/>
          <w:bCs/>
          <w:spacing w:val="-4"/>
          <w:sz w:val="32"/>
          <w:szCs w:val="32"/>
          <w:lang w:eastAsia="zh-CN"/>
        </w:rPr>
      </w:pPr>
      <w:r>
        <w:rPr>
          <w:rFonts w:hint="eastAsia" w:ascii="仿宋" w:hAnsi="仿宋" w:eastAsia="仿宋"/>
          <w:bCs/>
          <w:spacing w:val="-4"/>
          <w:sz w:val="32"/>
          <w:szCs w:val="32"/>
        </w:rPr>
        <w:t>1、主要经验及做法</w:t>
      </w:r>
      <w:r>
        <w:rPr>
          <w:rFonts w:hint="eastAsia" w:ascii="仿宋" w:hAnsi="仿宋" w:eastAsia="仿宋"/>
          <w:bCs/>
          <w:spacing w:val="-4"/>
          <w:sz w:val="32"/>
          <w:szCs w:val="32"/>
          <w:lang w:eastAsia="zh-CN"/>
        </w:rPr>
        <w:t>：及时拨付资金，支付率达到</w:t>
      </w:r>
      <w:r>
        <w:rPr>
          <w:rFonts w:hint="eastAsia" w:ascii="仿宋" w:hAnsi="仿宋" w:eastAsia="仿宋"/>
          <w:bCs/>
          <w:spacing w:val="-4"/>
          <w:sz w:val="32"/>
          <w:szCs w:val="32"/>
          <w:lang w:val="en-US" w:eastAsia="zh-CN"/>
        </w:rPr>
        <w:t>100%</w:t>
      </w:r>
      <w:r>
        <w:rPr>
          <w:rFonts w:hint="eastAsia"/>
          <w:sz w:val="32"/>
          <w:szCs w:val="32"/>
        </w:rPr>
        <w:t>。</w:t>
      </w:r>
    </w:p>
    <w:p>
      <w:pPr>
        <w:adjustRightInd w:val="0"/>
        <w:snapToGrid w:val="0"/>
        <w:spacing w:line="560" w:lineRule="exact"/>
        <w:ind w:firstLine="624" w:firstLineChars="200"/>
        <w:rPr>
          <w:rFonts w:hint="eastAsia"/>
          <w:sz w:val="32"/>
          <w:szCs w:val="32"/>
        </w:rPr>
      </w:pPr>
      <w:r>
        <w:rPr>
          <w:rFonts w:hint="eastAsia" w:ascii="仿宋" w:hAnsi="仿宋" w:eastAsia="仿宋"/>
          <w:bCs/>
          <w:spacing w:val="-4"/>
          <w:sz w:val="32"/>
          <w:szCs w:val="32"/>
        </w:rPr>
        <w:t>2、存在的问题</w:t>
      </w:r>
      <w:r>
        <w:rPr>
          <w:rFonts w:hint="eastAsia" w:ascii="仿宋" w:hAnsi="仿宋" w:eastAsia="仿宋"/>
          <w:bCs/>
          <w:spacing w:val="-4"/>
          <w:sz w:val="32"/>
          <w:szCs w:val="32"/>
          <w:lang w:eastAsia="zh-CN"/>
        </w:rPr>
        <w:t>：专项资金到位</w:t>
      </w:r>
      <w:r>
        <w:rPr>
          <w:rFonts w:hint="eastAsia" w:ascii="仿宋" w:hAnsi="仿宋" w:eastAsia="仿宋"/>
          <w:bCs/>
          <w:spacing w:val="-4"/>
          <w:sz w:val="32"/>
          <w:szCs w:val="32"/>
          <w:lang w:val="en-US" w:eastAsia="zh-CN"/>
        </w:rPr>
        <w:t>25万元，实际支付24.99万元，存在</w:t>
      </w:r>
      <w:r>
        <w:rPr>
          <w:rFonts w:hint="eastAsia" w:ascii="仿宋" w:hAnsi="仿宋" w:eastAsia="仿宋"/>
          <w:bCs/>
          <w:spacing w:val="-4"/>
          <w:sz w:val="32"/>
          <w:szCs w:val="32"/>
          <w:lang w:eastAsia="zh-CN"/>
        </w:rPr>
        <w:t>结余现象</w:t>
      </w:r>
      <w:r>
        <w:rPr>
          <w:rFonts w:hint="eastAsia"/>
          <w:sz w:val="32"/>
          <w:szCs w:val="32"/>
        </w:rPr>
        <w:t>。</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塔什库尔干县纪委监委执纪执勤车辆经费项目我单位严格按照相关要求执行，进行实报实销，资金拨付率100%。</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26316"/>
    <w:rsid w:val="00B41F61"/>
    <w:rsid w:val="00B55332"/>
    <w:rsid w:val="00B86E8C"/>
    <w:rsid w:val="00BE1A00"/>
    <w:rsid w:val="00C22CF0"/>
    <w:rsid w:val="00C56C72"/>
    <w:rsid w:val="00CA6457"/>
    <w:rsid w:val="00CC4442"/>
    <w:rsid w:val="00CC6E4D"/>
    <w:rsid w:val="00CE031B"/>
    <w:rsid w:val="00D17F2E"/>
    <w:rsid w:val="00D46194"/>
    <w:rsid w:val="00E01293"/>
    <w:rsid w:val="00E027D1"/>
    <w:rsid w:val="00E769FE"/>
    <w:rsid w:val="00EA2CBE"/>
    <w:rsid w:val="00EC659C"/>
    <w:rsid w:val="00EF3FFA"/>
    <w:rsid w:val="00F32FEE"/>
    <w:rsid w:val="00F53E69"/>
    <w:rsid w:val="02934C94"/>
    <w:rsid w:val="03221A2B"/>
    <w:rsid w:val="03C21B22"/>
    <w:rsid w:val="07682884"/>
    <w:rsid w:val="092710DD"/>
    <w:rsid w:val="0AE765D2"/>
    <w:rsid w:val="0D295E53"/>
    <w:rsid w:val="0F156109"/>
    <w:rsid w:val="0FF076B5"/>
    <w:rsid w:val="1258691E"/>
    <w:rsid w:val="1336109A"/>
    <w:rsid w:val="13DD66FB"/>
    <w:rsid w:val="149D6BA6"/>
    <w:rsid w:val="18155AD2"/>
    <w:rsid w:val="188D426D"/>
    <w:rsid w:val="1A926AE8"/>
    <w:rsid w:val="1AE41376"/>
    <w:rsid w:val="1B76415A"/>
    <w:rsid w:val="1CF179CC"/>
    <w:rsid w:val="1CFF40D3"/>
    <w:rsid w:val="1D1E5A07"/>
    <w:rsid w:val="213E7B00"/>
    <w:rsid w:val="23036175"/>
    <w:rsid w:val="23532866"/>
    <w:rsid w:val="236E2C72"/>
    <w:rsid w:val="27587182"/>
    <w:rsid w:val="2AEA18A9"/>
    <w:rsid w:val="31661830"/>
    <w:rsid w:val="31F57DF5"/>
    <w:rsid w:val="32117094"/>
    <w:rsid w:val="322B1DC8"/>
    <w:rsid w:val="36FE0ABB"/>
    <w:rsid w:val="3ACA75AD"/>
    <w:rsid w:val="3C6C63E9"/>
    <w:rsid w:val="3DB2604F"/>
    <w:rsid w:val="3F1B0442"/>
    <w:rsid w:val="44340C48"/>
    <w:rsid w:val="486953BA"/>
    <w:rsid w:val="494B7651"/>
    <w:rsid w:val="49B5395F"/>
    <w:rsid w:val="4AD10A1C"/>
    <w:rsid w:val="4C1A35B7"/>
    <w:rsid w:val="51D90547"/>
    <w:rsid w:val="55480E25"/>
    <w:rsid w:val="56DC7D7F"/>
    <w:rsid w:val="58750ED4"/>
    <w:rsid w:val="5BD72E92"/>
    <w:rsid w:val="5C8F449A"/>
    <w:rsid w:val="5FFB5AF4"/>
    <w:rsid w:val="62B4120A"/>
    <w:rsid w:val="64F96129"/>
    <w:rsid w:val="651867D3"/>
    <w:rsid w:val="67442BD3"/>
    <w:rsid w:val="6755270E"/>
    <w:rsid w:val="676220DB"/>
    <w:rsid w:val="67941C1C"/>
    <w:rsid w:val="67F0671B"/>
    <w:rsid w:val="6D733650"/>
    <w:rsid w:val="708A5675"/>
    <w:rsid w:val="73900B92"/>
    <w:rsid w:val="74A33E56"/>
    <w:rsid w:val="7D7C2E9A"/>
    <w:rsid w:val="7D815533"/>
    <w:rsid w:val="7F052375"/>
    <w:rsid w:val="7F624F8A"/>
    <w:rsid w:val="7FE96E4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2019-09-26T10:07:49Z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